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 xml:space="preserve">                 中国共产党武邑县纪律检查委员会</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20</w:t>
      </w:r>
      <w:r>
        <w:rPr>
          <w:rFonts w:ascii="Times New Roman" w:hAnsi="Times New Roman" w:eastAsia="方正小标宋_GBK" w:cs="Times New Roman"/>
          <w:sz w:val="44"/>
          <w:szCs w:val="44"/>
        </w:rPr>
        <w:t>年部门预算信息公开</w:t>
      </w:r>
    </w:p>
    <w:p>
      <w:pPr>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《预算法》、</w:t>
      </w:r>
      <w:r>
        <w:rPr>
          <w:rFonts w:ascii="仿宋" w:hAnsi="仿宋" w:eastAsia="仿宋" w:cs="Times New Roman"/>
          <w:sz w:val="32"/>
          <w:szCs w:val="32"/>
        </w:rPr>
        <w:t>《地方预决算公开操作规程》</w:t>
      </w:r>
      <w:r>
        <w:rPr>
          <w:rFonts w:hint="eastAsia" w:ascii="仿宋" w:hAnsi="仿宋" w:eastAsia="仿宋" w:cs="Times New Roman"/>
          <w:sz w:val="32"/>
          <w:szCs w:val="32"/>
        </w:rPr>
        <w:t>规定</w:t>
      </w:r>
      <w:r>
        <w:rPr>
          <w:rFonts w:ascii="仿宋" w:hAnsi="仿宋" w:eastAsia="仿宋" w:cs="Times New Roman"/>
          <w:sz w:val="32"/>
          <w:szCs w:val="32"/>
        </w:rPr>
        <w:t>，现将20</w:t>
      </w:r>
      <w:r>
        <w:rPr>
          <w:rFonts w:hint="eastAsia" w:ascii="仿宋" w:hAnsi="仿宋" w:eastAsia="仿宋" w:cs="Times New Roman"/>
          <w:sz w:val="32"/>
          <w:szCs w:val="32"/>
          <w:lang w:val="en-US" w:eastAsia="zh-CN"/>
        </w:rPr>
        <w:t>20</w:t>
      </w:r>
      <w:r>
        <w:rPr>
          <w:rFonts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ascii="仿宋" w:hAnsi="仿宋" w:eastAsia="仿宋" w:cs="Times New Roman"/>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p>
    <w:p>
      <w:pPr>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部门性质：</w:t>
      </w:r>
      <w:r>
        <w:rPr>
          <w:rFonts w:hint="eastAsia" w:ascii="仿宋" w:hAnsi="仿宋" w:eastAsia="仿宋" w:cs="Times New Roman"/>
          <w:sz w:val="32"/>
          <w:szCs w:val="32"/>
          <w:lang w:eastAsia="zh-CN"/>
        </w:rPr>
        <w:t>行政机关</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部门职权：</w:t>
      </w:r>
    </w:p>
    <w:p>
      <w:pPr>
        <w:widowControl/>
        <w:spacing w:line="375" w:lineRule="atLeast"/>
        <w:ind w:firstLine="640" w:firstLineChars="200"/>
        <w:jc w:val="left"/>
        <w:rPr>
          <w:rFonts w:ascii="仿宋" w:hAnsi="仿宋" w:eastAsia="仿宋" w:cs="仿宋"/>
          <w:color w:val="000000"/>
          <w:sz w:val="32"/>
          <w:szCs w:val="32"/>
        </w:rPr>
      </w:pPr>
      <w:r>
        <w:rPr>
          <w:rFonts w:hint="eastAsia" w:ascii="仿宋" w:hAnsi="仿宋" w:eastAsia="仿宋" w:cs="仿宋"/>
          <w:color w:val="000000"/>
          <w:kern w:val="0"/>
          <w:sz w:val="32"/>
          <w:szCs w:val="32"/>
          <w:lang w:bidi="ar"/>
        </w:rPr>
        <w:t>（一）</w:t>
      </w:r>
      <w:r>
        <w:rPr>
          <w:rFonts w:hint="eastAsia" w:ascii="仿宋" w:hAnsi="仿宋" w:eastAsia="仿宋" w:cs="仿宋"/>
          <w:color w:val="000000"/>
          <w:kern w:val="0"/>
          <w:sz w:val="32"/>
          <w:szCs w:val="32"/>
          <w:lang w:eastAsia="zh-CN" w:bidi="ar"/>
        </w:rPr>
        <w:t>负责</w:t>
      </w:r>
      <w:r>
        <w:rPr>
          <w:rFonts w:hint="eastAsia" w:ascii="仿宋" w:hAnsi="仿宋" w:eastAsia="仿宋" w:cs="仿宋"/>
          <w:color w:val="000000"/>
          <w:kern w:val="0"/>
          <w:sz w:val="32"/>
          <w:szCs w:val="32"/>
          <w:lang w:bidi="ar"/>
        </w:rPr>
        <w:t>全县党的纪律检查工作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贯彻落实党中央、省委、市委和县委关于</w:t>
      </w:r>
      <w:r>
        <w:rPr>
          <w:rFonts w:hint="eastAsia" w:ascii="仿宋" w:hAnsi="仿宋" w:eastAsia="仿宋" w:cs="仿宋"/>
          <w:color w:val="000000"/>
          <w:kern w:val="0"/>
          <w:sz w:val="32"/>
          <w:szCs w:val="32"/>
          <w:lang w:eastAsia="zh-CN" w:bidi="ar"/>
        </w:rPr>
        <w:t>纪律检查工作</w:t>
      </w:r>
      <w:r>
        <w:rPr>
          <w:rFonts w:hint="eastAsia" w:ascii="仿宋" w:hAnsi="仿宋" w:eastAsia="仿宋" w:cs="仿宋"/>
          <w:color w:val="000000"/>
          <w:kern w:val="0"/>
          <w:sz w:val="32"/>
          <w:szCs w:val="32"/>
          <w:lang w:bidi="ar"/>
        </w:rPr>
        <w:t>的</w:t>
      </w:r>
      <w:r>
        <w:rPr>
          <w:rFonts w:hint="eastAsia" w:ascii="仿宋" w:hAnsi="仿宋" w:eastAsia="仿宋" w:cs="仿宋"/>
          <w:color w:val="000000"/>
          <w:kern w:val="0"/>
          <w:sz w:val="32"/>
          <w:szCs w:val="32"/>
          <w:lang w:eastAsia="zh-CN" w:bidi="ar"/>
        </w:rPr>
        <w:t>决策部署</w:t>
      </w:r>
      <w:r>
        <w:rPr>
          <w:rFonts w:hint="eastAsia" w:ascii="仿宋" w:hAnsi="仿宋" w:eastAsia="仿宋" w:cs="仿宋"/>
          <w:color w:val="000000"/>
          <w:kern w:val="0"/>
          <w:sz w:val="32"/>
          <w:szCs w:val="32"/>
          <w:lang w:bidi="ar"/>
        </w:rPr>
        <w:t>，维护党的章程和</w:t>
      </w:r>
      <w:r>
        <w:rPr>
          <w:rFonts w:hint="eastAsia" w:ascii="仿宋" w:hAnsi="仿宋" w:eastAsia="仿宋" w:cs="仿宋"/>
          <w:color w:val="000000"/>
          <w:kern w:val="0"/>
          <w:sz w:val="32"/>
          <w:szCs w:val="32"/>
          <w:lang w:eastAsia="zh-CN" w:bidi="ar"/>
        </w:rPr>
        <w:t>其他</w:t>
      </w:r>
      <w:r>
        <w:rPr>
          <w:rFonts w:hint="eastAsia" w:ascii="仿宋" w:hAnsi="仿宋" w:eastAsia="仿宋" w:cs="仿宋"/>
          <w:color w:val="000000"/>
          <w:kern w:val="0"/>
          <w:sz w:val="32"/>
          <w:szCs w:val="32"/>
          <w:lang w:bidi="ar"/>
        </w:rPr>
        <w:t>党</w:t>
      </w:r>
      <w:r>
        <w:rPr>
          <w:rFonts w:hint="eastAsia" w:ascii="仿宋" w:hAnsi="仿宋" w:eastAsia="仿宋" w:cs="仿宋"/>
          <w:color w:val="000000"/>
          <w:kern w:val="0"/>
          <w:sz w:val="32"/>
          <w:szCs w:val="32"/>
          <w:lang w:eastAsia="zh-CN" w:bidi="ar"/>
        </w:rPr>
        <w:t>内</w:t>
      </w:r>
      <w:r>
        <w:rPr>
          <w:rFonts w:hint="eastAsia" w:ascii="仿宋" w:hAnsi="仿宋" w:eastAsia="仿宋" w:cs="仿宋"/>
          <w:color w:val="000000"/>
          <w:kern w:val="0"/>
          <w:sz w:val="32"/>
          <w:szCs w:val="32"/>
          <w:lang w:bidi="ar"/>
        </w:rPr>
        <w:t>法规，检查党的路线方针政策和决议的执行情况；</w:t>
      </w:r>
      <w:r>
        <w:rPr>
          <w:rFonts w:hint="eastAsia" w:ascii="仿宋" w:hAnsi="仿宋" w:eastAsia="仿宋" w:cs="仿宋"/>
          <w:color w:val="000000"/>
          <w:kern w:val="0"/>
          <w:sz w:val="32"/>
          <w:szCs w:val="32"/>
          <w:lang w:eastAsia="zh-CN" w:bidi="ar"/>
        </w:rPr>
        <w:t>协助县委推进全面从严治党、加强党风建设和组织协调反腐败工作</w:t>
      </w:r>
      <w:r>
        <w:rPr>
          <w:rFonts w:hint="eastAsia" w:ascii="仿宋" w:hAnsi="仿宋" w:eastAsia="仿宋" w:cs="仿宋"/>
          <w:color w:val="000000"/>
          <w:kern w:val="0"/>
          <w:sz w:val="32"/>
          <w:szCs w:val="32"/>
          <w:lang w:bidi="ar"/>
        </w:rPr>
        <w:t>。</w:t>
      </w:r>
    </w:p>
    <w:p>
      <w:pPr>
        <w:widowControl/>
        <w:spacing w:line="375" w:lineRule="atLeast"/>
        <w:ind w:firstLine="640" w:firstLineChars="200"/>
        <w:jc w:val="left"/>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bidi="ar"/>
        </w:rPr>
        <w:t>（二）</w:t>
      </w:r>
      <w:r>
        <w:rPr>
          <w:rFonts w:hint="eastAsia" w:ascii="仿宋" w:hAnsi="仿宋" w:eastAsia="仿宋" w:cs="仿宋"/>
          <w:color w:val="000000"/>
          <w:kern w:val="0"/>
          <w:sz w:val="32"/>
          <w:szCs w:val="32"/>
          <w:lang w:eastAsia="zh-CN" w:bidi="ar"/>
        </w:rPr>
        <w:t>依照党的章程和其他党内法规履行监督、执纪、问责职责。负责经常对党员进行遵守纪律的教育，作出关于维护党纪的决定；对县委工作机关、县委批准设立的党组（党委），各乡镇（区）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widowControl/>
        <w:spacing w:line="375" w:lineRule="atLeast"/>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lang w:bidi="ar"/>
        </w:rPr>
        <w:t>（三）</w:t>
      </w:r>
      <w:r>
        <w:rPr>
          <w:rFonts w:hint="eastAsia" w:ascii="仿宋" w:hAnsi="仿宋" w:eastAsia="仿宋" w:cs="仿宋"/>
          <w:color w:val="000000"/>
          <w:kern w:val="0"/>
          <w:sz w:val="32"/>
          <w:szCs w:val="32"/>
          <w:lang w:eastAsia="zh-CN" w:bidi="ar"/>
        </w:rPr>
        <w:t>支持配合巡视巡察工作。承担巡视巡察整改日常监督责任，做好巡视巡察整改督查督办工作，依规依纪依法处置巡视巡察移交的反映领导干部问题线索。</w:t>
      </w:r>
    </w:p>
    <w:p>
      <w:pPr>
        <w:ind w:firstLine="640"/>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bidi="ar"/>
        </w:rPr>
        <w:t>（四）</w:t>
      </w:r>
      <w:r>
        <w:rPr>
          <w:rFonts w:hint="eastAsia" w:ascii="仿宋" w:hAnsi="仿宋" w:eastAsia="仿宋" w:cs="仿宋"/>
          <w:color w:val="000000"/>
          <w:kern w:val="0"/>
          <w:sz w:val="32"/>
          <w:szCs w:val="32"/>
          <w:lang w:eastAsia="zh-CN" w:bidi="ar"/>
        </w:rPr>
        <w:t>负责全县监察工作。贯彻落实党中央、省委、市委和县委关于监察工作的决策部署，维护宪法法律，依法对县委管理的行使公权力的公职人员进行监察，调查职务违法和职务犯罪，开展廉政建设的反腐败工作。</w:t>
      </w:r>
    </w:p>
    <w:p>
      <w:pPr>
        <w:ind w:firstLine="640"/>
        <w:rPr>
          <w:rFonts w:hint="default" w:ascii="仿宋" w:hAnsi="仿宋" w:eastAsia="仿宋" w:cs="仿宋"/>
          <w:sz w:val="32"/>
          <w:szCs w:val="32"/>
          <w:lang w:val="en-US" w:eastAsia="zh-CN"/>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不力、失职失责的领导人员进行问责；对涉嫌职务犯罪的，将调查结果移送人民检察院依法审查、提起公诉；向监察对象所在单位提出监察建议。</w:t>
      </w:r>
    </w:p>
    <w:p>
      <w:pPr>
        <w:pStyle w:val="7"/>
        <w:keepNext w:val="0"/>
        <w:keepLines w:val="0"/>
        <w:pageBreakBefore w:val="0"/>
        <w:shd w:val="clear" w:color="auto" w:fill="FFFFFF"/>
        <w:tabs>
          <w:tab w:val="left" w:pos="4592"/>
        </w:tabs>
        <w:kinsoku/>
        <w:wordWrap/>
        <w:overflowPunct/>
        <w:topLinePunct w:val="0"/>
        <w:autoSpaceDE/>
        <w:autoSpaceDN/>
        <w:bidi w:val="0"/>
        <w:adjustRightInd w:val="0"/>
        <w:snapToGrid w:val="0"/>
        <w:spacing w:before="0" w:beforeAutospacing="0" w:after="0" w:afterAutospacing="0" w:line="240" w:lineRule="auto"/>
        <w:ind w:firstLine="640"/>
        <w:textAlignment w:val="auto"/>
        <w:rPr>
          <w:rFonts w:hint="eastAsia" w:ascii="仿宋" w:hAnsi="仿宋" w:cs="仿宋"/>
          <w:color w:val="000000"/>
          <w:sz w:val="32"/>
          <w:szCs w:val="32"/>
          <w:lang w:eastAsia="zh-CN"/>
        </w:rPr>
      </w:pPr>
      <w:r>
        <w:rPr>
          <w:rFonts w:hint="eastAsia" w:ascii="仿宋" w:hAnsi="仿宋" w:cs="仿宋"/>
          <w:color w:val="000000"/>
          <w:sz w:val="32"/>
          <w:szCs w:val="32"/>
        </w:rPr>
        <w:t>（六） 负责</w:t>
      </w:r>
      <w:r>
        <w:rPr>
          <w:rFonts w:hint="eastAsia" w:ascii="仿宋" w:hAnsi="仿宋" w:cs="仿宋"/>
          <w:color w:val="000000"/>
          <w:sz w:val="32"/>
          <w:szCs w:val="32"/>
          <w:lang w:eastAsia="zh-CN"/>
        </w:rPr>
        <w:t>组织协调全面从严治党、党风廉政建设的反腐败宣传教育工作。</w:t>
      </w:r>
    </w:p>
    <w:p>
      <w:pPr>
        <w:pStyle w:val="7"/>
        <w:keepNext w:val="0"/>
        <w:keepLines w:val="0"/>
        <w:pageBreakBefore w:val="0"/>
        <w:shd w:val="clear" w:color="auto" w:fill="FFFFFF"/>
        <w:tabs>
          <w:tab w:val="left" w:pos="4592"/>
        </w:tabs>
        <w:kinsoku/>
        <w:wordWrap/>
        <w:overflowPunct/>
        <w:topLinePunct w:val="0"/>
        <w:autoSpaceDE/>
        <w:autoSpaceDN/>
        <w:bidi w:val="0"/>
        <w:adjustRightInd w:val="0"/>
        <w:snapToGrid w:val="0"/>
        <w:spacing w:before="0" w:beforeAutospacing="0" w:after="0" w:afterAutospacing="0" w:line="240" w:lineRule="auto"/>
        <w:ind w:firstLine="640"/>
        <w:textAlignment w:val="auto"/>
        <w:rPr>
          <w:rFonts w:hint="eastAsia" w:ascii="仿宋" w:hAnsi="仿宋" w:cs="仿宋"/>
          <w:color w:val="000000"/>
          <w:sz w:val="32"/>
          <w:szCs w:val="32"/>
          <w:lang w:eastAsia="zh-CN"/>
        </w:rPr>
      </w:pPr>
      <w:r>
        <w:rPr>
          <w:rFonts w:hint="eastAsia" w:ascii="仿宋" w:hAnsi="仿宋" w:cs="仿宋"/>
          <w:color w:val="000000"/>
          <w:sz w:val="32"/>
          <w:szCs w:val="32"/>
        </w:rPr>
        <w:t>（</w:t>
      </w:r>
      <w:r>
        <w:rPr>
          <w:rFonts w:hint="eastAsia" w:ascii="仿宋" w:hAnsi="仿宋" w:cs="仿宋"/>
          <w:color w:val="000000"/>
          <w:sz w:val="32"/>
          <w:szCs w:val="32"/>
          <w:lang w:eastAsia="zh-CN"/>
        </w:rPr>
        <w:t>七</w:t>
      </w:r>
      <w:r>
        <w:rPr>
          <w:rFonts w:hint="eastAsia" w:ascii="仿宋" w:hAnsi="仿宋" w:cs="仿宋"/>
          <w:color w:val="000000"/>
          <w:sz w:val="32"/>
          <w:szCs w:val="32"/>
        </w:rPr>
        <w:t>）</w:t>
      </w:r>
      <w:r>
        <w:rPr>
          <w:rFonts w:hint="eastAsia" w:ascii="仿宋" w:hAnsi="仿宋" w:cs="仿宋"/>
          <w:color w:val="000000"/>
          <w:sz w:val="32"/>
          <w:szCs w:val="32"/>
          <w:lang w:eastAsia="zh-CN"/>
        </w:rPr>
        <w:t>负责综合分析全面从严治党、党风廉政建设和反腐败工作情况，对纪检监察工作重要理论及实践问题进行调查研究；参与起草修订规范性文件。</w:t>
      </w:r>
    </w:p>
    <w:p>
      <w:pPr>
        <w:pStyle w:val="7"/>
        <w:keepNext w:val="0"/>
        <w:keepLines w:val="0"/>
        <w:pageBreakBefore w:val="0"/>
        <w:shd w:val="clear" w:color="auto" w:fill="FFFFFF"/>
        <w:tabs>
          <w:tab w:val="left" w:pos="4592"/>
        </w:tabs>
        <w:kinsoku/>
        <w:wordWrap/>
        <w:overflowPunct/>
        <w:topLinePunct w:val="0"/>
        <w:autoSpaceDE/>
        <w:autoSpaceDN/>
        <w:bidi w:val="0"/>
        <w:adjustRightInd w:val="0"/>
        <w:snapToGrid w:val="0"/>
        <w:spacing w:before="0" w:beforeAutospacing="0" w:after="0" w:afterAutospacing="0" w:line="240" w:lineRule="auto"/>
        <w:ind w:firstLine="640"/>
        <w:textAlignment w:val="auto"/>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eastAsia="zh-CN" w:bidi="ar"/>
        </w:rPr>
        <w:t>八</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eastAsia="zh-CN" w:bidi="ar"/>
        </w:rPr>
        <w:t>负责组织协调全县反腐败追逃追脏和防逃工作，督促有关单位做好相关工作。</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九)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有关干部人事工作。会同有关方面做好县纪委监委派驻机构、乡镇（区）纪（工）委、监察办公室（组）、县管企业和县属院校纪检监察机构领导班子建设有关工作；组织和指导全县纪检监察系统干部教育培训工作等。</w:t>
      </w:r>
    </w:p>
    <w:p>
      <w:pPr>
        <w:ind w:firstLine="640" w:firstLineChars="200"/>
        <w:rPr>
          <w:rFonts w:hint="eastAsia" w:ascii="仿宋" w:hAnsi="仿宋" w:eastAsia="仿宋" w:cs="Times New Roman"/>
          <w:sz w:val="32"/>
          <w:szCs w:val="32"/>
        </w:rPr>
      </w:pPr>
      <w:r>
        <w:rPr>
          <w:rFonts w:hint="eastAsia" w:ascii="仿宋" w:hAnsi="仿宋" w:cs="仿宋"/>
          <w:color w:val="000000"/>
          <w:sz w:val="32"/>
          <w:szCs w:val="32"/>
          <w:lang w:eastAsia="zh-CN" w:bidi="ar"/>
        </w:rPr>
        <w:t>（</w:t>
      </w:r>
      <w:r>
        <w:rPr>
          <w:rFonts w:hint="eastAsia" w:ascii="仿宋" w:hAnsi="仿宋" w:cs="仿宋"/>
          <w:b/>
          <w:bCs/>
          <w:color w:val="000000"/>
          <w:sz w:val="32"/>
          <w:szCs w:val="32"/>
          <w:lang w:eastAsia="zh-CN" w:bidi="ar"/>
        </w:rPr>
        <w:t>十）完成市</w:t>
      </w:r>
      <w:r>
        <w:rPr>
          <w:rFonts w:hint="eastAsia" w:ascii="仿宋" w:hAnsi="仿宋" w:cs="仿宋"/>
          <w:b/>
          <w:bCs/>
          <w:color w:val="000000"/>
          <w:sz w:val="32"/>
          <w:szCs w:val="32"/>
          <w:lang w:bidi="ar"/>
        </w:rPr>
        <w:t>纪</w:t>
      </w:r>
      <w:r>
        <w:rPr>
          <w:rFonts w:hint="eastAsia" w:ascii="仿宋" w:hAnsi="仿宋" w:cs="仿宋"/>
          <w:b/>
          <w:bCs/>
          <w:color w:val="000000"/>
          <w:sz w:val="32"/>
          <w:szCs w:val="32"/>
          <w:lang w:eastAsia="zh-CN" w:bidi="ar"/>
        </w:rPr>
        <w:t>委监委</w:t>
      </w:r>
      <w:r>
        <w:rPr>
          <w:rFonts w:hint="eastAsia" w:ascii="仿宋" w:hAnsi="仿宋" w:cs="仿宋"/>
          <w:b/>
          <w:bCs/>
          <w:color w:val="000000"/>
          <w:sz w:val="32"/>
          <w:szCs w:val="32"/>
          <w:lang w:bidi="ar"/>
        </w:rPr>
        <w:t>、县委交办的其他任务。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部门内设机构：</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部门内设机构：中共武邑县纪委</w:t>
      </w:r>
      <w:r>
        <w:rPr>
          <w:rFonts w:hint="eastAsia" w:ascii="仿宋" w:hAnsi="仿宋" w:eastAsia="仿宋" w:cs="Times New Roman"/>
          <w:sz w:val="32"/>
          <w:szCs w:val="32"/>
          <w:lang w:eastAsia="zh-CN"/>
        </w:rPr>
        <w:t>监委机关</w:t>
      </w:r>
      <w:r>
        <w:rPr>
          <w:rFonts w:hint="eastAsia" w:ascii="仿宋" w:hAnsi="仿宋" w:eastAsia="仿宋" w:cs="Times New Roman"/>
          <w:sz w:val="32"/>
          <w:szCs w:val="32"/>
        </w:rPr>
        <w:t>设置1</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室。分别为：办公室、党风政风监督室、信访室</w:t>
      </w:r>
      <w:r>
        <w:rPr>
          <w:rFonts w:hint="eastAsia" w:ascii="仿宋" w:hAnsi="仿宋" w:eastAsia="仿宋" w:cs="Times New Roman"/>
          <w:sz w:val="32"/>
          <w:szCs w:val="32"/>
          <w:lang w:eastAsia="zh-CN"/>
        </w:rPr>
        <w:t>、</w:t>
      </w:r>
      <w:r>
        <w:rPr>
          <w:rFonts w:hint="eastAsia" w:ascii="仿宋" w:hAnsi="仿宋" w:eastAsia="仿宋" w:cs="Times New Roman"/>
          <w:sz w:val="32"/>
          <w:szCs w:val="32"/>
        </w:rPr>
        <w:t>案</w:t>
      </w:r>
      <w:r>
        <w:rPr>
          <w:rFonts w:hint="eastAsia" w:ascii="仿宋" w:hAnsi="仿宋" w:eastAsia="仿宋" w:cs="Times New Roman"/>
          <w:sz w:val="32"/>
          <w:szCs w:val="32"/>
          <w:lang w:eastAsia="zh-CN"/>
        </w:rPr>
        <w:t>件监督管理室</w:t>
      </w:r>
      <w:r>
        <w:rPr>
          <w:rFonts w:hint="eastAsia" w:ascii="仿宋" w:hAnsi="仿宋" w:eastAsia="仿宋" w:cs="Times New Roman"/>
          <w:sz w:val="32"/>
          <w:szCs w:val="32"/>
        </w:rPr>
        <w:t>、、第一</w:t>
      </w:r>
      <w:r>
        <w:rPr>
          <w:rFonts w:hint="eastAsia" w:ascii="仿宋" w:hAnsi="仿宋" w:eastAsia="仿宋" w:cs="Times New Roman"/>
          <w:sz w:val="32"/>
          <w:szCs w:val="32"/>
          <w:lang w:eastAsia="zh-CN"/>
        </w:rPr>
        <w:t>至第五</w:t>
      </w:r>
      <w:r>
        <w:rPr>
          <w:rFonts w:hint="eastAsia" w:ascii="仿宋" w:hAnsi="仿宋" w:eastAsia="仿宋" w:cs="Times New Roman"/>
          <w:sz w:val="32"/>
          <w:szCs w:val="32"/>
        </w:rPr>
        <w:t>监督</w:t>
      </w:r>
      <w:r>
        <w:rPr>
          <w:rFonts w:hint="eastAsia" w:ascii="仿宋" w:hAnsi="仿宋" w:eastAsia="仿宋" w:cs="Times New Roman"/>
          <w:sz w:val="32"/>
          <w:szCs w:val="32"/>
          <w:lang w:eastAsia="zh-CN"/>
        </w:rPr>
        <w:t>检查</w:t>
      </w:r>
      <w:r>
        <w:rPr>
          <w:rFonts w:hint="eastAsia" w:ascii="仿宋" w:hAnsi="仿宋" w:eastAsia="仿宋" w:cs="Times New Roman"/>
          <w:sz w:val="32"/>
          <w:szCs w:val="32"/>
        </w:rPr>
        <w:t>室</w:t>
      </w:r>
      <w:r>
        <w:rPr>
          <w:rFonts w:hint="eastAsia" w:ascii="仿宋" w:hAnsi="仿宋" w:eastAsia="仿宋" w:cs="Times New Roman"/>
          <w:sz w:val="32"/>
          <w:szCs w:val="32"/>
          <w:lang w:eastAsia="zh-CN"/>
        </w:rPr>
        <w:t>、第六至第八审查调查室、</w:t>
      </w:r>
      <w:r>
        <w:rPr>
          <w:rFonts w:hint="eastAsia" w:ascii="仿宋" w:hAnsi="仿宋" w:eastAsia="仿宋" w:cs="Times New Roman"/>
          <w:sz w:val="32"/>
          <w:szCs w:val="32"/>
        </w:rPr>
        <w:t>案件审理室。</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县委巡察办、第一巡察组、第二巡察组、第三巡察组、第四巡察组由纪委管理。</w:t>
      </w:r>
    </w:p>
    <w:p>
      <w:pPr>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eastAsia="zh-CN"/>
        </w:rPr>
        <w:t>县纪委监委派驻机构</w:t>
      </w:r>
      <w:r>
        <w:rPr>
          <w:rFonts w:hint="eastAsia" w:ascii="仿宋" w:hAnsi="仿宋" w:eastAsia="仿宋" w:cs="Times New Roman"/>
          <w:sz w:val="32"/>
          <w:szCs w:val="32"/>
          <w:lang w:val="en-US" w:eastAsia="zh-CN"/>
        </w:rPr>
        <w:t>6个。</w:t>
      </w:r>
    </w:p>
    <w:p>
      <w:pPr>
        <w:ind w:firstLine="640"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中国共产党武邑县纪律检查委员会</w:t>
            </w:r>
          </w:p>
        </w:tc>
        <w:tc>
          <w:tcPr>
            <w:tcW w:w="1134"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行政机关</w:t>
            </w:r>
          </w:p>
        </w:tc>
        <w:tc>
          <w:tcPr>
            <w:tcW w:w="1276" w:type="dxa"/>
            <w:vAlign w:val="center"/>
          </w:tcPr>
          <w:p>
            <w:pPr>
              <w:spacing w:line="300" w:lineRule="exact"/>
              <w:jc w:val="both"/>
              <w:rPr>
                <w:rFonts w:hint="default"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 xml:space="preserve">  副县级</w:t>
            </w:r>
          </w:p>
        </w:tc>
        <w:tc>
          <w:tcPr>
            <w:tcW w:w="2902"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全额保障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pPr>
      <w:r>
        <w:rPr>
          <w:rFonts w:hint="eastAsia" w:ascii="Times New Roman" w:hAnsi="Times New Roman" w:eastAsia="仿宋" w:cs="Times New Roman"/>
          <w:sz w:val="32"/>
          <w:szCs w:val="32"/>
        </w:rPr>
        <w:t>按照《预算法》等有关预算管理规定，</w:t>
      </w:r>
      <w:r>
        <w:rPr>
          <w:rFonts w:hint="eastAsia" w:ascii="Times New Roman" w:hAnsi="Times New Roman" w:eastAsia="仿宋" w:cs="Times New Roman"/>
          <w:sz w:val="32"/>
          <w:szCs w:val="32"/>
          <w:lang w:eastAsia="zh-CN"/>
        </w:rPr>
        <w:t>县级</w:t>
      </w:r>
      <w:r>
        <w:rPr>
          <w:rFonts w:hint="eastAsia" w:ascii="Times New Roman" w:hAnsi="Times New Roman" w:eastAsia="仿宋" w:cs="Times New Roman"/>
          <w:sz w:val="32"/>
          <w:szCs w:val="32"/>
        </w:rPr>
        <w:t>部门预算实行综合预算管理，机关（及所属事业单位）的收支全部包含在部门预算中。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反映本部门当年收入。20</w:t>
      </w:r>
      <w:r>
        <w:rPr>
          <w:rFonts w:hint="eastAsia" w:ascii="Times New Roman" w:hAnsi="Times New Roman" w:eastAsia="仿宋" w:cs="Times New Roman"/>
          <w:sz w:val="32"/>
          <w:szCs w:val="32"/>
          <w:lang w:val="en-US" w:eastAsia="zh-CN"/>
        </w:rPr>
        <w:t>20</w:t>
      </w:r>
      <w:r>
        <w:rPr>
          <w:rFonts w:hint="eastAsia" w:ascii="Times New Roman" w:hAnsi="Times New Roman" w:eastAsia="仿宋" w:cs="Times New Roman"/>
          <w:sz w:val="32"/>
          <w:szCs w:val="32"/>
        </w:rPr>
        <w:t>年预算收入</w:t>
      </w:r>
      <w:r>
        <w:rPr>
          <w:rFonts w:hint="eastAsia" w:ascii="Times New Roman" w:hAnsi="Times New Roman" w:eastAsia="仿宋" w:cs="Times New Roman"/>
          <w:sz w:val="32"/>
          <w:szCs w:val="32"/>
          <w:lang w:val="en-US" w:eastAsia="zh-CN"/>
        </w:rPr>
        <w:t>1044.02</w:t>
      </w:r>
      <w:r>
        <w:rPr>
          <w:rFonts w:hint="eastAsia" w:ascii="Times New Roman" w:hAnsi="Times New Roman" w:eastAsia="仿宋" w:cs="Times New Roman"/>
          <w:sz w:val="32"/>
          <w:szCs w:val="32"/>
        </w:rPr>
        <w:t>万元，其中：一般公共预算收入</w:t>
      </w:r>
      <w:r>
        <w:rPr>
          <w:rFonts w:hint="eastAsia" w:ascii="Times New Roman" w:hAnsi="Times New Roman" w:eastAsia="仿宋" w:cs="Times New Roman"/>
          <w:sz w:val="32"/>
          <w:szCs w:val="32"/>
          <w:lang w:val="en-US" w:eastAsia="zh-CN"/>
        </w:rPr>
        <w:t>1044.02</w:t>
      </w:r>
      <w:r>
        <w:rPr>
          <w:rFonts w:hint="eastAsia" w:ascii="Times New Roman" w:hAnsi="Times New Roman" w:eastAsia="仿宋" w:cs="Times New Roman"/>
          <w:sz w:val="32"/>
          <w:szCs w:val="32"/>
        </w:rPr>
        <w:t>万元，政府性基金预算收入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万元，国有资本经营预算收入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万元，财政专户收入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万元，事业收入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万元，上级补助收入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万元，附属单位上缴收入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万元，经营收入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万元，其他收入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firstLineChars="200"/>
        <w:rPr>
          <w:rFonts w:hint="eastAsia" w:eastAsia="仿宋"/>
          <w:lang w:eastAsia="zh-CN"/>
        </w:rPr>
      </w:pPr>
      <w:r>
        <w:rPr>
          <w:rFonts w:hint="eastAsia" w:ascii="Times New Roman" w:hAnsi="Times New Roman" w:eastAsia="仿宋" w:cs="Times New Roman"/>
          <w:sz w:val="32"/>
          <w:szCs w:val="32"/>
        </w:rPr>
        <w:t>收支预算总表支出栏、基本支出表、项目支出表按经济分类和功能分类科目编制，反映2</w:t>
      </w:r>
      <w:r>
        <w:rPr>
          <w:rFonts w:hint="eastAsia" w:ascii="Times New Roman" w:hAnsi="Times New Roman" w:eastAsia="仿宋" w:cs="Times New Roman"/>
          <w:sz w:val="32"/>
          <w:szCs w:val="32"/>
          <w:lang w:val="en-US" w:eastAsia="zh-CN"/>
        </w:rPr>
        <w:t>020</w:t>
      </w:r>
      <w:r>
        <w:rPr>
          <w:rFonts w:hint="eastAsia" w:ascii="Times New Roman" w:hAnsi="Times New Roman" w:eastAsia="仿宋" w:cs="Times New Roman"/>
          <w:sz w:val="32"/>
          <w:szCs w:val="32"/>
        </w:rPr>
        <w:t>年度部门预算支出的总体情况。20</w:t>
      </w:r>
      <w:r>
        <w:rPr>
          <w:rFonts w:hint="eastAsia" w:ascii="Times New Roman" w:hAnsi="Times New Roman" w:eastAsia="仿宋" w:cs="Times New Roman"/>
          <w:sz w:val="32"/>
          <w:szCs w:val="32"/>
          <w:lang w:val="en-US" w:eastAsia="zh-CN"/>
        </w:rPr>
        <w:t>20</w:t>
      </w:r>
      <w:r>
        <w:rPr>
          <w:rFonts w:hint="eastAsia" w:ascii="Times New Roman" w:hAnsi="Times New Roman" w:eastAsia="仿宋" w:cs="Times New Roman"/>
          <w:sz w:val="32"/>
          <w:szCs w:val="32"/>
        </w:rPr>
        <w:t>年部门预算支出</w:t>
      </w:r>
      <w:r>
        <w:rPr>
          <w:rFonts w:hint="eastAsia" w:ascii="Times New Roman" w:hAnsi="Times New Roman" w:eastAsia="仿宋" w:cs="Times New Roman"/>
          <w:sz w:val="32"/>
          <w:szCs w:val="32"/>
          <w:lang w:val="en-US" w:eastAsia="zh-CN"/>
        </w:rPr>
        <w:t>1044.02</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698.02</w:t>
      </w:r>
      <w:r>
        <w:rPr>
          <w:rFonts w:hint="eastAsia" w:ascii="Times New Roman" w:hAnsi="Times New Roman" w:eastAsia="仿宋" w:cs="Times New Roman"/>
          <w:sz w:val="32"/>
          <w:szCs w:val="32"/>
        </w:rPr>
        <w:t>万元，包括人员经费</w:t>
      </w:r>
      <w:r>
        <w:rPr>
          <w:rFonts w:hint="eastAsia" w:ascii="Times New Roman" w:hAnsi="Times New Roman" w:eastAsia="仿宋" w:cs="Times New Roman"/>
          <w:sz w:val="32"/>
          <w:szCs w:val="32"/>
          <w:lang w:val="en-US" w:eastAsia="zh-CN"/>
        </w:rPr>
        <w:t>642.7</w:t>
      </w:r>
      <w:r>
        <w:rPr>
          <w:rFonts w:hint="eastAsia" w:ascii="Times New Roman" w:hAnsi="Times New Roman" w:eastAsia="仿宋" w:cs="Times New Roman"/>
          <w:sz w:val="32"/>
          <w:szCs w:val="32"/>
        </w:rPr>
        <w:t>万元与公用经费</w:t>
      </w:r>
      <w:r>
        <w:rPr>
          <w:rFonts w:hint="eastAsia" w:ascii="Times New Roman" w:hAnsi="Times New Roman" w:eastAsia="仿宋" w:cs="Times New Roman"/>
          <w:sz w:val="32"/>
          <w:szCs w:val="32"/>
          <w:lang w:val="en-US" w:eastAsia="zh-CN"/>
        </w:rPr>
        <w:t>55.32</w:t>
      </w:r>
      <w:r>
        <w:rPr>
          <w:rFonts w:hint="eastAsia" w:ascii="Times New Roman" w:hAnsi="Times New Roman" w:eastAsia="仿宋" w:cs="Times New Roman"/>
          <w:sz w:val="32"/>
          <w:szCs w:val="32"/>
        </w:rPr>
        <w:t>万元；项目支出</w:t>
      </w:r>
      <w:r>
        <w:rPr>
          <w:rFonts w:hint="eastAsia" w:ascii="Times New Roman" w:hAnsi="Times New Roman" w:eastAsia="仿宋" w:cs="Times New Roman"/>
          <w:sz w:val="32"/>
          <w:szCs w:val="32"/>
          <w:lang w:val="en-US" w:eastAsia="zh-CN"/>
        </w:rPr>
        <w:t>346</w:t>
      </w:r>
      <w:r>
        <w:rPr>
          <w:rFonts w:hint="eastAsia" w:ascii="Times New Roman" w:hAnsi="Times New Roman" w:eastAsia="仿宋" w:cs="Times New Roman"/>
          <w:sz w:val="32"/>
          <w:szCs w:val="32"/>
        </w:rPr>
        <w:t>万元，主要是</w:t>
      </w:r>
      <w:r>
        <w:rPr>
          <w:rFonts w:hint="eastAsia" w:ascii="Times New Roman" w:hAnsi="Times New Roman" w:eastAsia="仿宋" w:cs="Times New Roman"/>
          <w:sz w:val="32"/>
          <w:szCs w:val="32"/>
          <w:lang w:eastAsia="zh-CN"/>
        </w:rPr>
        <w:t>案件查办费</w:t>
      </w:r>
      <w:r>
        <w:rPr>
          <w:rFonts w:hint="eastAsia" w:ascii="Times New Roman" w:hAnsi="Times New Roman" w:eastAsia="仿宋" w:cs="Times New Roman"/>
          <w:sz w:val="32"/>
          <w:szCs w:val="32"/>
          <w:lang w:val="en-US" w:eastAsia="zh-CN"/>
        </w:rPr>
        <w:t>70万元，党风廉政建设经费30万元，巡察监督经费56万元，纪检机关公用经费102.4万元，监委公用经费33.6万元，车辆购置经费54万元</w:t>
      </w:r>
      <w:r>
        <w:rPr>
          <w:rFonts w:hint="eastAsia" w:ascii="Times New Roman" w:hAnsi="Times New Roman" w:eastAsia="仿宋" w:cs="Times New Roman"/>
          <w:sz w:val="32"/>
          <w:szCs w:val="32"/>
        </w:rPr>
        <w:t>；其他支出</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Times New Roman"/>
          <w:sz w:val="32"/>
          <w:szCs w:val="32"/>
        </w:rPr>
        <w:t>年部门预算较201</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年增长</w:t>
      </w:r>
      <w:r>
        <w:rPr>
          <w:rFonts w:hint="eastAsia" w:ascii="Times New Roman" w:hAnsi="Times New Roman" w:eastAsia="仿宋" w:cs="Times New Roman"/>
          <w:sz w:val="32"/>
          <w:szCs w:val="32"/>
          <w:lang w:val="en-US" w:eastAsia="zh-CN"/>
        </w:rPr>
        <w:t>30.24</w:t>
      </w:r>
      <w:r>
        <w:rPr>
          <w:rFonts w:hint="eastAsia" w:ascii="Times New Roman" w:hAnsi="Times New Roman" w:eastAsia="仿宋" w:cs="Times New Roman"/>
          <w:sz w:val="32"/>
          <w:szCs w:val="32"/>
        </w:rPr>
        <w:t>万元，其中：基本支出增长</w:t>
      </w:r>
      <w:r>
        <w:rPr>
          <w:rFonts w:hint="eastAsia" w:ascii="Times New Roman" w:hAnsi="Times New Roman" w:eastAsia="仿宋" w:cs="Times New Roman"/>
          <w:sz w:val="32"/>
          <w:szCs w:val="32"/>
          <w:lang w:val="en-US" w:eastAsia="zh-CN"/>
        </w:rPr>
        <w:t>30.24</w:t>
      </w:r>
      <w:r>
        <w:rPr>
          <w:rFonts w:hint="eastAsia" w:ascii="Times New Roman" w:hAnsi="Times New Roman" w:eastAsia="仿宋" w:cs="Times New Roman"/>
          <w:sz w:val="32"/>
          <w:szCs w:val="32"/>
        </w:rPr>
        <w:t>万元，主要是由于</w:t>
      </w:r>
      <w:r>
        <w:rPr>
          <w:rFonts w:hint="eastAsia" w:ascii="Times New Roman" w:hAnsi="Times New Roman" w:eastAsia="仿宋" w:cs="Times New Roman"/>
          <w:sz w:val="32"/>
          <w:szCs w:val="32"/>
          <w:lang w:eastAsia="zh-CN"/>
        </w:rPr>
        <w:t>单位人员工资增长</w:t>
      </w:r>
      <w:r>
        <w:rPr>
          <w:rFonts w:hint="eastAsia" w:ascii="Times New Roman" w:hAnsi="Times New Roman" w:eastAsia="仿宋" w:cs="Times New Roman"/>
          <w:sz w:val="32"/>
          <w:szCs w:val="32"/>
        </w:rPr>
        <w:t>；项目支</w:t>
      </w:r>
      <w:r>
        <w:rPr>
          <w:rFonts w:hint="eastAsia" w:ascii="Times New Roman" w:hAnsi="Times New Roman" w:eastAsia="仿宋" w:cs="Times New Roman"/>
          <w:sz w:val="32"/>
          <w:szCs w:val="32"/>
          <w:lang w:eastAsia="zh-CN"/>
        </w:rPr>
        <w:t>出下降</w:t>
      </w:r>
      <w:r>
        <w:rPr>
          <w:rFonts w:hint="eastAsia" w:ascii="Times New Roman" w:hAnsi="Times New Roman" w:eastAsia="仿宋" w:cs="Times New Roman"/>
          <w:sz w:val="32"/>
          <w:szCs w:val="32"/>
          <w:lang w:val="en-US" w:eastAsia="zh-CN"/>
        </w:rPr>
        <w:t>21.46</w:t>
      </w:r>
      <w:r>
        <w:rPr>
          <w:rFonts w:hint="eastAsia" w:ascii="Times New Roman" w:hAnsi="Times New Roman" w:eastAsia="仿宋" w:cs="Times New Roman"/>
          <w:sz w:val="32"/>
          <w:szCs w:val="32"/>
        </w:rPr>
        <w:t>万元，主要是由于</w:t>
      </w:r>
      <w:r>
        <w:rPr>
          <w:rFonts w:hint="eastAsia" w:ascii="Times New Roman" w:hAnsi="Times New Roman" w:eastAsia="仿宋" w:cs="Times New Roman"/>
          <w:sz w:val="32"/>
          <w:szCs w:val="32"/>
          <w:lang w:eastAsia="zh-CN"/>
        </w:rPr>
        <w:t>部门项目数量减少</w:t>
      </w:r>
      <w:r>
        <w:rPr>
          <w:rFonts w:hint="eastAsia" w:ascii="Times New Roman" w:hAnsi="Times New Roman" w:eastAsia="仿宋" w:cs="Times New Roman"/>
          <w:sz w:val="32"/>
          <w:szCs w:val="32"/>
        </w:rPr>
        <w:t>。</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机关运行经费共计安排</w:t>
      </w:r>
      <w:r>
        <w:rPr>
          <w:rFonts w:hint="eastAsia" w:ascii="Times New Roman" w:hAnsi="Times New Roman" w:eastAsia="仿宋" w:cs="Times New Roman"/>
          <w:sz w:val="32"/>
          <w:szCs w:val="32"/>
          <w:lang w:val="en-US" w:eastAsia="zh-CN"/>
        </w:rPr>
        <w:t>55.32</w:t>
      </w:r>
      <w:r>
        <w:rPr>
          <w:rFonts w:hint="eastAsia" w:ascii="Times New Roman" w:hAnsi="Times New Roman" w:eastAsia="仿宋" w:cs="Times New Roman"/>
          <w:sz w:val="32"/>
          <w:szCs w:val="32"/>
        </w:rPr>
        <w:t>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Times New Roman"/>
          <w:sz w:val="32"/>
          <w:szCs w:val="32"/>
        </w:rPr>
        <w:t>年，财政拨款“三公”经费预算安排</w:t>
      </w:r>
      <w:r>
        <w:rPr>
          <w:rFonts w:hint="eastAsia" w:ascii="Times New Roman" w:hAnsi="Times New Roman" w:eastAsia="仿宋" w:cs="Times New Roman"/>
          <w:sz w:val="32"/>
          <w:szCs w:val="32"/>
          <w:lang w:val="en-US" w:eastAsia="zh-CN"/>
        </w:rPr>
        <w:t>89.5</w:t>
      </w:r>
      <w:r>
        <w:rPr>
          <w:rFonts w:hint="eastAsia" w:ascii="Times New Roman" w:hAnsi="Times New Roman" w:eastAsia="仿宋" w:cs="Times New Roman"/>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万元，较上年增加</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万元，主要是由于</w:t>
      </w:r>
      <w:r>
        <w:rPr>
          <w:rFonts w:hint="eastAsia" w:ascii="Times New Roman" w:hAnsi="Times New Roman" w:eastAsia="仿宋" w:cs="Times New Roman"/>
          <w:sz w:val="32"/>
          <w:szCs w:val="32"/>
          <w:lang w:eastAsia="zh-CN"/>
        </w:rPr>
        <w:t>没有安排出国费用</w:t>
      </w:r>
      <w:r>
        <w:rPr>
          <w:rFonts w:hint="eastAsia" w:ascii="Times New Roman" w:hAnsi="Times New Roman" w:eastAsia="仿宋" w:cs="Times New Roman"/>
          <w:sz w:val="32"/>
          <w:szCs w:val="32"/>
        </w:rPr>
        <w:t>；公务用车购置及运维费</w:t>
      </w:r>
      <w:r>
        <w:rPr>
          <w:rFonts w:hint="eastAsia" w:ascii="Times New Roman" w:hAnsi="Times New Roman" w:eastAsia="仿宋" w:cs="Times New Roman"/>
          <w:sz w:val="32"/>
          <w:szCs w:val="32"/>
          <w:lang w:val="en-US" w:eastAsia="zh-CN"/>
        </w:rPr>
        <w:t>76</w:t>
      </w:r>
      <w:r>
        <w:rPr>
          <w:rFonts w:hint="eastAsia" w:ascii="Times New Roman" w:hAnsi="Times New Roman" w:eastAsia="仿宋" w:cs="Times New Roman"/>
          <w:sz w:val="32"/>
          <w:szCs w:val="32"/>
        </w:rPr>
        <w:t>万元，较上年增加</w:t>
      </w:r>
      <w:r>
        <w:rPr>
          <w:rFonts w:hint="eastAsia" w:ascii="Times New Roman" w:hAnsi="Times New Roman" w:eastAsia="仿宋" w:cs="Times New Roman"/>
          <w:sz w:val="32"/>
          <w:szCs w:val="32"/>
          <w:lang w:val="en-US" w:eastAsia="zh-CN"/>
        </w:rPr>
        <w:t>18</w:t>
      </w:r>
      <w:r>
        <w:rPr>
          <w:rFonts w:hint="eastAsia" w:ascii="Times New Roman" w:hAnsi="Times New Roman" w:eastAsia="仿宋" w:cs="Times New Roman"/>
          <w:sz w:val="32"/>
          <w:szCs w:val="32"/>
        </w:rPr>
        <w:t>万元，（其中：公务用车运行维护费</w:t>
      </w:r>
      <w:r>
        <w:rPr>
          <w:rFonts w:hint="eastAsia" w:ascii="Times New Roman" w:hAnsi="Times New Roman" w:eastAsia="仿宋" w:cs="Times New Roman"/>
          <w:sz w:val="32"/>
          <w:szCs w:val="32"/>
          <w:lang w:val="en-US" w:eastAsia="zh-CN"/>
        </w:rPr>
        <w:t>22</w:t>
      </w:r>
      <w:r>
        <w:rPr>
          <w:rFonts w:hint="eastAsia" w:ascii="Times New Roman" w:hAnsi="Times New Roman" w:eastAsia="仿宋" w:cs="Times New Roman"/>
          <w:sz w:val="32"/>
          <w:szCs w:val="32"/>
        </w:rPr>
        <w:t>万元，较上年</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万元，主要是由于</w:t>
      </w:r>
      <w:r>
        <w:rPr>
          <w:rFonts w:hint="eastAsia" w:ascii="Times New Roman" w:hAnsi="Times New Roman" w:eastAsia="仿宋" w:cs="Times New Roman"/>
          <w:sz w:val="32"/>
          <w:szCs w:val="32"/>
          <w:lang w:eastAsia="zh-CN"/>
        </w:rPr>
        <w:t>按照三公经费逐年递减的要求适当下降</w:t>
      </w:r>
      <w:r>
        <w:rPr>
          <w:rFonts w:hint="eastAsia" w:ascii="Times New Roman" w:hAnsi="Times New Roman" w:eastAsia="仿宋" w:cs="Times New Roman"/>
          <w:sz w:val="32"/>
          <w:szCs w:val="32"/>
        </w:rPr>
        <w:t>；公务用车购置费</w:t>
      </w:r>
      <w:r>
        <w:rPr>
          <w:rFonts w:hint="eastAsia" w:ascii="Times New Roman" w:hAnsi="Times New Roman" w:eastAsia="仿宋" w:cs="Times New Roman"/>
          <w:sz w:val="32"/>
          <w:szCs w:val="32"/>
          <w:lang w:val="en-US" w:eastAsia="zh-CN"/>
        </w:rPr>
        <w:t>54</w:t>
      </w:r>
      <w:r>
        <w:rPr>
          <w:rFonts w:hint="eastAsia" w:ascii="Times New Roman" w:hAnsi="Times New Roman" w:eastAsia="仿宋" w:cs="Times New Roman"/>
          <w:sz w:val="32"/>
          <w:szCs w:val="32"/>
        </w:rPr>
        <w:t>万元，较上年增加</w:t>
      </w:r>
      <w:r>
        <w:rPr>
          <w:rFonts w:hint="eastAsia" w:ascii="Times New Roman" w:hAnsi="Times New Roman" w:eastAsia="仿宋" w:cs="Times New Roman"/>
          <w:sz w:val="32"/>
          <w:szCs w:val="32"/>
          <w:lang w:val="en-US" w:eastAsia="zh-CN"/>
        </w:rPr>
        <w:t>18</w:t>
      </w:r>
      <w:r>
        <w:rPr>
          <w:rFonts w:hint="eastAsia" w:ascii="Times New Roman" w:hAnsi="Times New Roman" w:eastAsia="仿宋" w:cs="Times New Roman"/>
          <w:sz w:val="32"/>
          <w:szCs w:val="32"/>
        </w:rPr>
        <w:t>万元，主要是由于</w:t>
      </w:r>
      <w:r>
        <w:rPr>
          <w:rFonts w:hint="eastAsia" w:ascii="Times New Roman" w:hAnsi="Times New Roman" w:eastAsia="仿宋" w:cs="Times New Roman"/>
          <w:sz w:val="32"/>
          <w:szCs w:val="32"/>
          <w:lang w:eastAsia="zh-CN"/>
        </w:rPr>
        <w:t>有去年未采购的</w:t>
      </w:r>
      <w:r>
        <w:rPr>
          <w:rFonts w:hint="eastAsia" w:ascii="Times New Roman" w:hAnsi="Times New Roman" w:eastAsia="仿宋" w:cs="Times New Roman"/>
          <w:sz w:val="32"/>
          <w:szCs w:val="32"/>
          <w:lang w:val="en-US" w:eastAsia="zh-CN"/>
        </w:rPr>
        <w:t>1辆和今年新增购置1辆</w:t>
      </w:r>
      <w:r>
        <w:rPr>
          <w:rFonts w:hint="eastAsia" w:ascii="Times New Roman" w:hAnsi="Times New Roman" w:eastAsia="仿宋" w:cs="Times New Roman"/>
          <w:sz w:val="32"/>
          <w:szCs w:val="32"/>
        </w:rPr>
        <w:t>)；公务接待费</w:t>
      </w:r>
      <w:r>
        <w:rPr>
          <w:rFonts w:hint="eastAsia" w:ascii="Times New Roman" w:hAnsi="Times New Roman" w:eastAsia="仿宋" w:cs="Times New Roman"/>
          <w:sz w:val="32"/>
          <w:szCs w:val="32"/>
          <w:lang w:val="en-US" w:eastAsia="zh-CN"/>
        </w:rPr>
        <w:t>13.5</w:t>
      </w:r>
      <w:r>
        <w:rPr>
          <w:rFonts w:hint="eastAsia" w:ascii="Times New Roman" w:hAnsi="Times New Roman" w:eastAsia="仿宋" w:cs="Times New Roman"/>
          <w:sz w:val="32"/>
          <w:szCs w:val="32"/>
        </w:rPr>
        <w:t>万元，较上年增加</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与上年持平</w:t>
      </w:r>
      <w:r>
        <w:rPr>
          <w:rFonts w:hint="eastAsia" w:ascii="Times New Roman" w:hAnsi="Times New Roman" w:eastAsia="仿宋" w:cs="Times New Roman"/>
          <w:sz w:val="32"/>
          <w:szCs w:val="32"/>
        </w:rPr>
        <w:t>。</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五、政府采购预算情况</w:t>
      </w:r>
    </w:p>
    <w:p>
      <w:pPr>
        <w:ind w:firstLine="960" w:firstLineChars="300"/>
        <w:outlineLvl w:val="0"/>
        <w:rPr>
          <w:rFonts w:ascii="Times New Roman" w:hAnsi="Times New Roman" w:eastAsia="仿宋" w:cs="Times New Roman"/>
          <w:sz w:val="32"/>
          <w:szCs w:val="24"/>
        </w:rPr>
      </w:pPr>
      <w:bookmarkStart w:id="0" w:name="_Toc471398468"/>
      <w:r>
        <w:rPr>
          <w:rFonts w:ascii="Times New Roman" w:hAnsi="Times New Roman" w:eastAsia="仿宋" w:cs="Times New Roman"/>
          <w:sz w:val="32"/>
          <w:szCs w:val="24"/>
        </w:rPr>
        <w:t xml:space="preserve"> 20</w:t>
      </w:r>
      <w:r>
        <w:rPr>
          <w:rFonts w:hint="eastAsia" w:ascii="Times New Roman" w:hAnsi="Times New Roman" w:eastAsia="仿宋" w:cs="Times New Roman"/>
          <w:sz w:val="32"/>
          <w:szCs w:val="24"/>
          <w:lang w:val="en-US" w:eastAsia="zh-CN"/>
        </w:rPr>
        <w:t>20</w:t>
      </w:r>
      <w:r>
        <w:rPr>
          <w:rFonts w:ascii="Times New Roman" w:hAnsi="Times New Roman" w:eastAsia="仿宋" w:cs="Times New Roman"/>
          <w:sz w:val="32"/>
          <w:szCs w:val="24"/>
        </w:rPr>
        <w:t>年，安排政府采购预算</w:t>
      </w:r>
      <w:r>
        <w:rPr>
          <w:rFonts w:hint="eastAsia" w:ascii="Times New Roman" w:hAnsi="Times New Roman" w:eastAsia="仿宋" w:cs="Times New Roman"/>
          <w:sz w:val="32"/>
          <w:szCs w:val="24"/>
          <w:lang w:val="en-US" w:eastAsia="zh-CN"/>
        </w:rPr>
        <w:t>54</w:t>
      </w:r>
      <w:r>
        <w:rPr>
          <w:rFonts w:ascii="Times New Roman" w:hAnsi="Times New Roman" w:eastAsia="仿宋" w:cs="Times New Roman"/>
          <w:sz w:val="32"/>
          <w:szCs w:val="24"/>
        </w:rPr>
        <w:t>万元。具体内容见下表。</w:t>
      </w:r>
      <w:bookmarkEnd w:id="0"/>
    </w:p>
    <w:p>
      <w:pPr>
        <w:outlineLvl w:val="0"/>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sz w:val="32"/>
          <w:szCs w:val="24"/>
        </w:rPr>
        <w:t xml:space="preserve">     </w:t>
      </w:r>
      <w:r>
        <w:rPr>
          <w:rFonts w:hint="eastAsia" w:ascii="Times New Roman" w:hAnsi="Times New Roman" w:eastAsia="仿宋" w:cs="Times New Roman"/>
          <w:sz w:val="32"/>
          <w:szCs w:val="24"/>
          <w:lang w:val="en-US" w:eastAsia="zh-CN"/>
        </w:rPr>
        <w:t xml:space="preserve">                      </w:t>
      </w:r>
    </w:p>
    <w:p>
      <w:pPr>
        <w:outlineLvl w:val="0"/>
        <w:rPr>
          <w:rFonts w:hint="eastAsia" w:ascii="Times New Roman" w:hAnsi="Times New Roman" w:eastAsia="仿宋" w:cs="Times New Roman"/>
          <w:sz w:val="32"/>
          <w:szCs w:val="24"/>
          <w:lang w:val="en-US" w:eastAsia="zh-CN"/>
        </w:rPr>
      </w:pPr>
    </w:p>
    <w:p>
      <w:pPr>
        <w:ind w:firstLine="2560" w:firstLineChars="800"/>
        <w:outlineLvl w:val="0"/>
        <w:rPr>
          <w:rFonts w:hint="eastAsia" w:ascii="Times New Roman" w:hAnsi="Times New Roman" w:eastAsia="仿宋" w:cs="Times New Roman"/>
          <w:sz w:val="32"/>
          <w:szCs w:val="24"/>
          <w:lang w:val="en-US" w:eastAsia="zh-CN"/>
        </w:rPr>
      </w:pPr>
      <w:r>
        <w:rPr>
          <w:rFonts w:hint="eastAsia" w:ascii="Times New Roman" w:hAnsi="Times New Roman" w:eastAsia="仿宋" w:cs="Times New Roman"/>
          <w:sz w:val="32"/>
          <w:szCs w:val="24"/>
          <w:lang w:val="en-US" w:eastAsia="zh-CN"/>
        </w:rPr>
        <w:t xml:space="preserve">    </w:t>
      </w:r>
    </w:p>
    <w:p>
      <w:pPr>
        <w:ind w:firstLine="2560" w:firstLineChars="800"/>
        <w:outlineLvl w:val="0"/>
        <w:rPr>
          <w:rFonts w:hint="eastAsia" w:ascii="Times New Roman" w:hAnsi="Times New Roman" w:eastAsia="仿宋" w:cs="Times New Roman"/>
          <w:sz w:val="32"/>
          <w:szCs w:val="24"/>
          <w:lang w:val="en-US" w:eastAsia="zh-CN"/>
        </w:rPr>
      </w:pPr>
      <w:bookmarkStart w:id="1" w:name="_GoBack"/>
      <w:bookmarkEnd w:id="1"/>
      <w:r>
        <w:rPr>
          <w:rFonts w:hint="eastAsia" w:ascii="Times New Roman" w:hAnsi="Times New Roman" w:eastAsia="仿宋" w:cs="Times New Roman"/>
          <w:sz w:val="32"/>
          <w:szCs w:val="24"/>
          <w:lang w:val="en-US" w:eastAsia="zh-CN"/>
        </w:rPr>
        <w:t>中国共产党武邑县纪律检查委员会政府采购表</w:t>
      </w:r>
    </w:p>
    <w:tbl>
      <w:tblPr>
        <w:tblStyle w:val="8"/>
        <w:tblW w:w="14640" w:type="dxa"/>
        <w:tblInd w:w="0" w:type="dxa"/>
        <w:shd w:val="clear" w:color="auto" w:fill="auto"/>
        <w:tblLayout w:type="autofit"/>
        <w:tblCellMar>
          <w:top w:w="0" w:type="dxa"/>
          <w:left w:w="0" w:type="dxa"/>
          <w:bottom w:w="0" w:type="dxa"/>
          <w:right w:w="0" w:type="dxa"/>
        </w:tblCellMar>
      </w:tblPr>
      <w:tblGrid>
        <w:gridCol w:w="1275"/>
        <w:gridCol w:w="1665"/>
        <w:gridCol w:w="2700"/>
        <w:gridCol w:w="900"/>
        <w:gridCol w:w="900"/>
        <w:gridCol w:w="900"/>
        <w:gridCol w:w="900"/>
        <w:gridCol w:w="1050"/>
        <w:gridCol w:w="1050"/>
        <w:gridCol w:w="600"/>
        <w:gridCol w:w="1050"/>
        <w:gridCol w:w="1050"/>
        <w:gridCol w:w="600"/>
      </w:tblGrid>
      <w:tr>
        <w:tblPrEx>
          <w:tblCellMar>
            <w:top w:w="0" w:type="dxa"/>
            <w:left w:w="0" w:type="dxa"/>
            <w:bottom w:w="0" w:type="dxa"/>
            <w:right w:w="0" w:type="dxa"/>
          </w:tblCellMar>
        </w:tblPrEx>
        <w:trPr>
          <w:trHeight w:val="300" w:hRule="atLeast"/>
        </w:trPr>
        <w:tc>
          <w:tcPr>
            <w:tcW w:w="1275" w:type="dxa"/>
            <w:vMerge w:val="restar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项目资金性质</w:t>
            </w:r>
          </w:p>
        </w:tc>
        <w:tc>
          <w:tcPr>
            <w:tcW w:w="1665" w:type="dxa"/>
            <w:vMerge w:val="restar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项目编码</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项目名称</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功能分类科目编码</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部门经济分类编码</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提交状态</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审核结果</w:t>
            </w:r>
          </w:p>
        </w:tc>
        <w:tc>
          <w:tcPr>
            <w:tcW w:w="2700" w:type="dxa"/>
            <w:gridSpan w:val="3"/>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事业费限额</w:t>
            </w:r>
          </w:p>
        </w:tc>
        <w:tc>
          <w:tcPr>
            <w:tcW w:w="2700" w:type="dxa"/>
            <w:gridSpan w:val="3"/>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非限额补助</w:t>
            </w:r>
          </w:p>
        </w:tc>
      </w:tr>
      <w:tr>
        <w:tblPrEx>
          <w:shd w:val="clear" w:color="auto" w:fill="auto"/>
          <w:tblCellMar>
            <w:top w:w="0" w:type="dxa"/>
            <w:left w:w="0" w:type="dxa"/>
            <w:bottom w:w="0" w:type="dxa"/>
            <w:right w:w="0" w:type="dxa"/>
          </w:tblCellMar>
        </w:tblPrEx>
        <w:trPr>
          <w:trHeight w:val="300" w:hRule="atLeast"/>
        </w:trPr>
        <w:tc>
          <w:tcPr>
            <w:tcW w:w="1275" w:type="dxa"/>
            <w:vMerge w:val="continue"/>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665" w:type="dxa"/>
            <w:vMerge w:val="continue"/>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政府采购数</w:t>
            </w:r>
          </w:p>
        </w:tc>
        <w:tc>
          <w:tcPr>
            <w:tcW w:w="105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项目支出数</w:t>
            </w:r>
          </w:p>
        </w:tc>
        <w:tc>
          <w:tcPr>
            <w:tcW w:w="60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结果</w:t>
            </w:r>
          </w:p>
        </w:tc>
        <w:tc>
          <w:tcPr>
            <w:tcW w:w="105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政府采购数</w:t>
            </w:r>
          </w:p>
        </w:tc>
        <w:tc>
          <w:tcPr>
            <w:tcW w:w="105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项目支出数</w:t>
            </w:r>
          </w:p>
        </w:tc>
        <w:tc>
          <w:tcPr>
            <w:tcW w:w="60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结果</w:t>
            </w:r>
          </w:p>
        </w:tc>
      </w:tr>
      <w:tr>
        <w:tblPrEx>
          <w:shd w:val="clear" w:color="auto" w:fill="auto"/>
          <w:tblCellMar>
            <w:top w:w="0" w:type="dxa"/>
            <w:left w:w="0" w:type="dxa"/>
            <w:bottom w:w="0" w:type="dxa"/>
            <w:right w:w="0" w:type="dxa"/>
          </w:tblCellMar>
        </w:tblPrEx>
        <w:trPr>
          <w:trHeight w:val="345" w:hRule="atLeast"/>
        </w:trPr>
        <w:tc>
          <w:tcPr>
            <w:tcW w:w="1275"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665"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70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90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90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90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05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5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60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105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105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600" w:type="dxa"/>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222-0901-YBN-X46H</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车辆购置</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2011101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r>
    </w:tbl>
    <w:p>
      <w:pPr>
        <w:outlineLvl w:val="0"/>
        <w:rPr>
          <w:rFonts w:ascii="Times New Roman" w:hAnsi="Times New Roman" w:eastAsia="仿宋" w:cs="Times New Roman"/>
          <w:color w:val="FF0000"/>
          <w:sz w:val="32"/>
          <w:szCs w:val="24"/>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、国有资产信息</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上年末固定资产金额为</w:t>
      </w:r>
      <w:r>
        <w:rPr>
          <w:rFonts w:hint="eastAsia" w:ascii="Times New Roman" w:hAnsi="Times New Roman" w:eastAsia="仿宋" w:cs="Times New Roman"/>
          <w:sz w:val="32"/>
          <w:szCs w:val="32"/>
          <w:lang w:val="en-US" w:eastAsia="zh-CN"/>
        </w:rPr>
        <w:t>336.10694</w:t>
      </w:r>
      <w:r>
        <w:rPr>
          <w:rFonts w:ascii="Times New Roman" w:hAnsi="Times New Roman" w:eastAsia="仿宋" w:cs="Times New Roman"/>
          <w:sz w:val="32"/>
          <w:szCs w:val="32"/>
        </w:rPr>
        <w:t>万元（详见下表），本年度拟购置固定资产主要</w:t>
      </w:r>
      <w:r>
        <w:rPr>
          <w:rFonts w:hint="eastAsia" w:ascii="Times New Roman" w:hAnsi="Times New Roman" w:eastAsia="仿宋" w:cs="Times New Roman"/>
          <w:sz w:val="32"/>
          <w:szCs w:val="32"/>
        </w:rPr>
        <w:t>是</w:t>
      </w:r>
      <w:r>
        <w:rPr>
          <w:rFonts w:ascii="Times New Roman" w:hAnsi="Times New Roman" w:eastAsia="仿宋" w:cs="Times New Roman"/>
          <w:sz w:val="32"/>
          <w:szCs w:val="32"/>
        </w:rPr>
        <w:t>，共计</w:t>
      </w:r>
      <w:r>
        <w:rPr>
          <w:rFonts w:hint="eastAsia" w:ascii="Times New Roman" w:hAnsi="Times New Roman" w:eastAsia="仿宋" w:cs="Times New Roman"/>
          <w:sz w:val="32"/>
          <w:szCs w:val="32"/>
          <w:lang w:val="en-US" w:eastAsia="zh-CN"/>
        </w:rPr>
        <w:t>83.5</w:t>
      </w:r>
      <w:r>
        <w:rPr>
          <w:rFonts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其中车辆购置</w:t>
      </w:r>
      <w:r>
        <w:rPr>
          <w:rFonts w:hint="eastAsia" w:ascii="Times New Roman" w:hAnsi="Times New Roman" w:eastAsia="仿宋" w:cs="Times New Roman"/>
          <w:sz w:val="32"/>
          <w:szCs w:val="32"/>
          <w:lang w:val="en-US" w:eastAsia="zh-CN"/>
        </w:rPr>
        <w:t>54万</w:t>
      </w:r>
      <w:r>
        <w:rPr>
          <w:rFonts w:ascii="Times New Roman" w:hAnsi="Times New Roman" w:eastAsia="仿宋" w:cs="Times New Roman"/>
          <w:sz w:val="32"/>
          <w:szCs w:val="32"/>
        </w:rPr>
        <w:t>已列入政府采购预算表。</w:t>
      </w:r>
    </w:p>
    <w:p>
      <w:pPr>
        <w:ind w:firstLine="640"/>
        <w:rPr>
          <w:rFonts w:ascii="Times New Roman" w:hAnsi="Times New Roman" w:eastAsia="仿宋"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仿宋" w:cs="Times New Roman"/>
                <w:kern w:val="0"/>
                <w:sz w:val="22"/>
                <w:lang w:eastAsia="zh-CN"/>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lang w:eastAsia="zh-CN"/>
              </w:rPr>
              <w:t>中国共产党武邑县纪律检查委员会</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lang w:val="en-US" w:eastAsia="zh-CN"/>
              </w:rPr>
              <w:t>9</w:t>
            </w:r>
            <w:r>
              <w:rPr>
                <w:rFonts w:ascii="Times New Roman" w:hAnsi="Times New Roman" w:eastAsia="仿宋" w:cs="Times New Roman"/>
                <w:kern w:val="0"/>
                <w:sz w:val="22"/>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336.10694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8</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110.069354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both"/>
              <w:rPr>
                <w:rFonts w:hint="default"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 xml:space="preserve">                 226.037586</w:t>
            </w:r>
          </w:p>
        </w:tc>
      </w:tr>
    </w:tbl>
    <w:p>
      <w:pPr>
        <w:autoSpaceDE w:val="0"/>
        <w:autoSpaceDN w:val="0"/>
        <w:adjustRightInd w:val="0"/>
        <w:ind w:firstLine="640" w:firstLineChars="200"/>
        <w:jc w:val="left"/>
        <w:rPr>
          <w:rFonts w:hint="eastAsia" w:ascii="黑体" w:hAnsi="黑体" w:eastAsia="黑体" w:cs="Times New Roman"/>
          <w:b w:val="0"/>
          <w:bCs w:val="0"/>
          <w:sz w:val="32"/>
          <w:szCs w:val="32"/>
          <w:lang w:eastAsia="zh-CN"/>
        </w:rPr>
      </w:pPr>
      <w:r>
        <w:rPr>
          <w:rFonts w:hint="eastAsia" w:ascii="黑体" w:hAnsi="黑体" w:eastAsia="黑体" w:cs="Times New Roman"/>
          <w:sz w:val="32"/>
          <w:szCs w:val="32"/>
          <w:lang w:eastAsia="zh-CN"/>
        </w:rPr>
        <w:t>备注：</w:t>
      </w:r>
      <w:r>
        <w:rPr>
          <w:rFonts w:hint="eastAsia" w:ascii="黑体" w:hAnsi="黑体" w:eastAsia="黑体" w:cs="Times New Roman"/>
          <w:b w:val="0"/>
          <w:bCs w:val="0"/>
          <w:sz w:val="32"/>
          <w:szCs w:val="32"/>
          <w:lang w:eastAsia="zh-CN"/>
        </w:rPr>
        <w:t>单位办公用房不在我单位名下</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eastAsia="zh-CN"/>
        </w:rPr>
        <w:t>七</w:t>
      </w:r>
      <w:r>
        <w:rPr>
          <w:rFonts w:hint="eastAsia" w:ascii="黑体" w:hAnsi="黑体" w:eastAsia="黑体" w:cs="Times New Roman"/>
          <w:sz w:val="32"/>
          <w:szCs w:val="32"/>
        </w:rPr>
        <w:t>、名词解释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1、一般预算收入：财政当年拨付的资金。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2、基本支出：为保障机构正常运转，完成日常工作任务，而发生的人员支出和公用支出。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3、项目支出：是指在基本支出之外，为完成特定行政任务和事业发展目标，而发生的支出。</w:t>
      </w:r>
    </w:p>
    <w:p>
      <w:pPr>
        <w:ind w:firstLine="640" w:firstLineChars="200"/>
        <w:rPr>
          <w:rFonts w:ascii="仿宋_GB2312" w:hAnsi="方正仿宋_GBK" w:eastAsia="仿宋_GB2312" w:cs="方正仿宋_GBK"/>
          <w:sz w:val="32"/>
          <w:szCs w:val="32"/>
        </w:rPr>
      </w:pPr>
      <w:r>
        <w:rPr>
          <w:rFonts w:hint="eastAsia" w:ascii="Times New Roman" w:hAnsi="Times New Roman" w:eastAsia="仿宋" w:cs="Times New Roman"/>
          <w:sz w:val="32"/>
          <w:szCs w:val="32"/>
        </w:rPr>
        <w:t>4、机关运行费：</w:t>
      </w:r>
      <w:r>
        <w:rPr>
          <w:rFonts w:hint="eastAsia" w:ascii="仿宋_GB2312" w:hAnsi="方正仿宋_GBK" w:eastAsia="仿宋_GB2312" w:cs="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hint="eastAsia" w:ascii="仿宋_GB2312" w:hAnsi="Times New Roman" w:eastAsia="仿宋_GB2312" w:cs="Times New Roman"/>
          <w:sz w:val="32"/>
          <w:szCs w:val="32"/>
        </w:rPr>
        <w:t>其他费用。</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lang w:eastAsia="zh-CN"/>
        </w:rPr>
        <w:t>八</w:t>
      </w:r>
      <w:r>
        <w:rPr>
          <w:rFonts w:hint="eastAsia" w:ascii="宋体-方正超大字符集" w:hAnsi="宋体-方正超大字符集" w:eastAsia="宋体-方正超大字符集" w:cs="宋体-方正超大字符集"/>
          <w:b/>
          <w:bCs/>
          <w:sz w:val="32"/>
          <w:szCs w:val="32"/>
        </w:rPr>
        <w:t>、其他需要说明的事项</w:t>
      </w:r>
    </w:p>
    <w:p>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733F"/>
    <w:rsid w:val="0004490B"/>
    <w:rsid w:val="001027EF"/>
    <w:rsid w:val="00226CE4"/>
    <w:rsid w:val="0027733F"/>
    <w:rsid w:val="003C0505"/>
    <w:rsid w:val="005208B2"/>
    <w:rsid w:val="006116C4"/>
    <w:rsid w:val="00970905"/>
    <w:rsid w:val="00AA7F72"/>
    <w:rsid w:val="00B92DD0"/>
    <w:rsid w:val="00CC65C1"/>
    <w:rsid w:val="00D63781"/>
    <w:rsid w:val="065B4E78"/>
    <w:rsid w:val="07A07BDC"/>
    <w:rsid w:val="0A183834"/>
    <w:rsid w:val="0EAD4498"/>
    <w:rsid w:val="0EC43DDA"/>
    <w:rsid w:val="120908AE"/>
    <w:rsid w:val="138168BB"/>
    <w:rsid w:val="14FD1241"/>
    <w:rsid w:val="15C31C58"/>
    <w:rsid w:val="19786A65"/>
    <w:rsid w:val="1A1C7FA7"/>
    <w:rsid w:val="1A8D4816"/>
    <w:rsid w:val="21A40B5F"/>
    <w:rsid w:val="22354533"/>
    <w:rsid w:val="24D929B7"/>
    <w:rsid w:val="25091CE2"/>
    <w:rsid w:val="2634563B"/>
    <w:rsid w:val="26370643"/>
    <w:rsid w:val="29D548CC"/>
    <w:rsid w:val="2DA23D97"/>
    <w:rsid w:val="2E6406A8"/>
    <w:rsid w:val="307A2747"/>
    <w:rsid w:val="3A140B7E"/>
    <w:rsid w:val="3A180CFA"/>
    <w:rsid w:val="3A8F49FE"/>
    <w:rsid w:val="3BD3142C"/>
    <w:rsid w:val="3DA77FC6"/>
    <w:rsid w:val="3F4F7BDE"/>
    <w:rsid w:val="45BF541E"/>
    <w:rsid w:val="45C73FE0"/>
    <w:rsid w:val="46CF2C7E"/>
    <w:rsid w:val="4F02071B"/>
    <w:rsid w:val="4F967D1A"/>
    <w:rsid w:val="52C53264"/>
    <w:rsid w:val="55D41462"/>
    <w:rsid w:val="57452447"/>
    <w:rsid w:val="591D4B01"/>
    <w:rsid w:val="5B0952FA"/>
    <w:rsid w:val="5E5F2394"/>
    <w:rsid w:val="60A04E94"/>
    <w:rsid w:val="623B1EC2"/>
    <w:rsid w:val="63B5021F"/>
    <w:rsid w:val="67C4567E"/>
    <w:rsid w:val="6DB23CA4"/>
    <w:rsid w:val="6F1B71E5"/>
    <w:rsid w:val="71E00C27"/>
    <w:rsid w:val="73D83C7C"/>
    <w:rsid w:val="77382A14"/>
    <w:rsid w:val="77A72856"/>
    <w:rsid w:val="77D6187E"/>
    <w:rsid w:val="7ABF693F"/>
    <w:rsid w:val="7B0077BD"/>
    <w:rsid w:val="7C774E98"/>
    <w:rsid w:val="7DD22DC8"/>
    <w:rsid w:val="7FA32F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Times New Roman"/>
      <w:szCs w:val="21"/>
    </w:rPr>
  </w:style>
  <w:style w:type="paragraph" w:styleId="3">
    <w:name w:val="footer"/>
    <w:basedOn w:val="1"/>
    <w:link w:val="10"/>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toc 2"/>
    <w:basedOn w:val="1"/>
    <w:next w:val="1"/>
    <w:qFormat/>
    <w:uiPriority w:val="0"/>
    <w:pPr>
      <w:ind w:left="420" w:leftChars="200"/>
    </w:pPr>
    <w:rPr>
      <w:rFonts w:ascii="Times New Roman" w:hAnsi="Times New Roman" w:cs="Times New Roman"/>
      <w:szCs w:val="24"/>
    </w:rPr>
  </w:style>
  <w:style w:type="paragraph" w:styleId="7">
    <w:name w:val="Normal (Web)"/>
    <w:basedOn w:val="1"/>
    <w:unhideWhenUsed/>
    <w:uiPriority w:val="99"/>
    <w:pPr>
      <w:widowControl/>
      <w:spacing w:before="100" w:beforeAutospacing="1" w:after="100" w:afterAutospacing="1" w:line="360" w:lineRule="auto"/>
      <w:jc w:val="left"/>
    </w:pPr>
    <w:rPr>
      <w:rFonts w:ascii="宋体" w:hAnsi="宋体" w:eastAsia="仿宋" w:cs="宋体"/>
      <w:kern w:val="0"/>
      <w:sz w:val="24"/>
    </w:rPr>
  </w:style>
  <w:style w:type="character" w:customStyle="1" w:styleId="10">
    <w:name w:val="页脚 Char"/>
    <w:link w:val="3"/>
    <w:semiHidden/>
    <w:qFormat/>
    <w:uiPriority w:val="0"/>
    <w:rPr>
      <w:rFonts w:ascii="Times New Roman" w:hAnsi="Times New Roman" w:eastAsia="宋体" w:cs="Times New Roman"/>
      <w:sz w:val="18"/>
      <w:szCs w:val="18"/>
    </w:rPr>
  </w:style>
  <w:style w:type="character" w:customStyle="1" w:styleId="11">
    <w:name w:val="页眉 Char"/>
    <w:link w:val="4"/>
    <w:semiHidden/>
    <w:qFormat/>
    <w:uiPriority w:val="0"/>
    <w:rPr>
      <w:rFonts w:ascii="Times New Roman" w:hAnsi="Times New Roman" w:eastAsia="宋体" w:cs="Times New Roman"/>
      <w:sz w:val="18"/>
      <w:szCs w:val="18"/>
    </w:rPr>
  </w:style>
  <w:style w:type="paragraph" w:customStyle="1" w:styleId="12">
    <w:name w:val="Char"/>
    <w:basedOn w:val="1"/>
    <w:qFormat/>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294</Words>
  <Characters>1676</Characters>
  <Lines>13</Lines>
  <Paragraphs>3</Paragraphs>
  <TotalTime>32</TotalTime>
  <ScaleCrop>false</ScaleCrop>
  <LinksUpToDate>false</LinksUpToDate>
  <CharactersWithSpaces>1967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Administrator</cp:lastModifiedBy>
  <cp:lastPrinted>2019-02-11T02:05:00Z</cp:lastPrinted>
  <dcterms:modified xsi:type="dcterms:W3CDTF">2020-02-04T03:05:46Z</dcterms:modified>
  <dc:title>Administrator</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